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8B" w:rsidRPr="00016D8B" w:rsidRDefault="00016D8B" w:rsidP="0001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6D8B">
        <w:rPr>
          <w:rFonts w:ascii="Times New Roman" w:hAnsi="Times New Roman" w:cs="Times New Roman"/>
          <w:b/>
          <w:sz w:val="28"/>
          <w:szCs w:val="28"/>
        </w:rPr>
        <w:t>Показатели эффективности деятельности МБОУ «</w:t>
      </w:r>
      <w:proofErr w:type="spellStart"/>
      <w:r w:rsidRPr="00016D8B">
        <w:rPr>
          <w:rFonts w:ascii="Times New Roman" w:hAnsi="Times New Roman" w:cs="Times New Roman"/>
          <w:b/>
          <w:sz w:val="28"/>
          <w:szCs w:val="28"/>
        </w:rPr>
        <w:t>Карадуванская</w:t>
      </w:r>
      <w:proofErr w:type="spellEnd"/>
      <w:r w:rsidRPr="00016D8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F7624" w:rsidRDefault="009F7624" w:rsidP="009F7624">
      <w:pPr>
        <w:tabs>
          <w:tab w:val="left" w:pos="2833"/>
        </w:tabs>
      </w:pPr>
      <w:r>
        <w:tab/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636"/>
        <w:gridCol w:w="4166"/>
        <w:gridCol w:w="8631"/>
        <w:gridCol w:w="2126"/>
      </w:tblGrid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 эффективности деятельност</w:t>
            </w:r>
            <w:proofErr w:type="gramStart"/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Эффективность управленческой деятельности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нормативно-правовой базы, соответствующей современным правовым актам, регламентирующей деятельность образовательной организации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н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ормативно-правов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база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современным правовым актам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действующей программы развития (срок действия не менее 3-х лет), утверждённой органом местного самоуправления и имеющий финансовую составляющую</w:t>
            </w:r>
            <w:proofErr w:type="gramEnd"/>
          </w:p>
        </w:tc>
        <w:tc>
          <w:tcPr>
            <w:tcW w:w="8631" w:type="dxa"/>
            <w:shd w:val="clear" w:color="auto" w:fill="auto"/>
          </w:tcPr>
          <w:p w:rsidR="009F7624" w:rsidRPr="002858C0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программа развития  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на 20013-2018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совете школы от 08.04.2015 №4, у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приказом директора 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согласованная н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МКУ «</w:t>
            </w:r>
            <w:r w:rsidRPr="002858C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2858C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858C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 РТ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жалоб, обращений в вышестоящие органы управления образованием (органы власти) по конфликтным ситуациям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планов (договоров) сотрудничества (совместной работы) с различными учреждениями, организациями, социальными институтами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образовательной организации сайта, обновляемого не реже 2 раз в месяц, </w:t>
            </w:r>
            <w:r w:rsidRPr="000E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в рабочем состоянии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сайт школы, обновляется еженедельно,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6626">
              <w:rPr>
                <w:rFonts w:ascii="Times New Roman" w:hAnsi="Times New Roman" w:cs="Times New Roman"/>
                <w:sz w:val="24"/>
                <w:szCs w:val="24"/>
              </w:rPr>
              <w:t>Skar.blt@tatar.ru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вычислительной техники, подключенных к сети Интернет, в общем количестве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 вычислительной техники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и эффективное использование автоматизированных программ управление («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», АИАС АРМ «Директор» и т.д.)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Функционирование системы государственно-общественного управления</w:t>
            </w:r>
          </w:p>
          <w:p w:rsidR="009F7624" w:rsidRPr="000E418C" w:rsidRDefault="009F7624" w:rsidP="00E03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наличие органа общественного управления ОУ, в котором представлены все участники образовательного процесс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обучающиеся, 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родителипредставителиобщественных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организаций), который (согласно Уставу ОУ)имеет право управления ОУ (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ресурсами,режимом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ОУ и 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7624" w:rsidRPr="000E418C" w:rsidRDefault="009F7624" w:rsidP="00E03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-отсутствие коллективного трудового договора.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9F7624" w:rsidRPr="00F76626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F76626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F76626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F76626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F76626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F76626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коллективный</w:t>
            </w:r>
            <w:r w:rsidRPr="00F76626">
              <w:rPr>
                <w:rFonts w:ascii="Times New Roman" w:hAnsi="Times New Roman" w:cs="Times New Roman"/>
                <w:sz w:val="24"/>
                <w:szCs w:val="24"/>
              </w:rPr>
              <w:t xml:space="preserve"> трудово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76626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отчетность: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наличие публичного доклада о деятельности образовательной организации за год, включая информацию о расходовании внебюджетных средств, размещенного на сайте ОУ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обновляется публичный доклад о деятельности школы за год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Инвестиционная привлекательность: доля внебюджетных средств от общей суммы финансирования ОУ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населения качеством предоставляемых образовательных услуг (результаты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анкетирования)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Анкетирование </w:t>
            </w:r>
            <w:r w:rsidRPr="00F7662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(100%) </w:t>
            </w:r>
            <w:r w:rsidRPr="00F76626">
              <w:rPr>
                <w:rFonts w:ascii="Times New Roman" w:hAnsi="Times New Roman" w:cs="Times New Roman"/>
                <w:sz w:val="24"/>
                <w:szCs w:val="24"/>
              </w:rPr>
              <w:t>обучающихся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76626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удовлетворённость качеством предоставляемых образовательных услуг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государственного (муниципального) задания на подготовку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Доступность качественного образования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программы начального общего образования: наличие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оставленных на повторный курс обучения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Программу начального общего образования освоило 100% учащихся (48 учащихся).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 оставленных на повторный курс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программы основного общего образования: наличие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, не получивших основное общее образование до достижения 15-летнего возраста</w:t>
            </w:r>
          </w:p>
        </w:tc>
        <w:tc>
          <w:tcPr>
            <w:tcW w:w="8631" w:type="dxa"/>
          </w:tcPr>
          <w:p w:rsidR="009F7624" w:rsidRPr="00D25D65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освоило 100% учащихся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учащихся).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программы среднего общего образования: наличие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, не получивших среднее общее образование до достижения 18-летнего возраста</w:t>
            </w:r>
          </w:p>
        </w:tc>
        <w:tc>
          <w:tcPr>
            <w:tcW w:w="8631" w:type="dxa"/>
          </w:tcPr>
          <w:p w:rsidR="009F7624" w:rsidRPr="00D25D65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освоило 100% учащихся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25D6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учащихся).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продолживших обучение в ВУЗах и учреждениях СПО – не менее 80%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учащихся полностью обеспеченных учебниками из школьных фондов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учреждения (договорные отношения) в целях реализации задач качественного предоставления образовательных услуг</w:t>
            </w:r>
          </w:p>
        </w:tc>
        <w:tc>
          <w:tcPr>
            <w:tcW w:w="8631" w:type="dxa"/>
            <w:shd w:val="clear" w:color="auto" w:fill="auto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 мероприятиях интеллектуальной направленности (олимпиады, конкурсы, конференции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призёров: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муниципального уровня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республиканского уровня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всероссийского / международного уровня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победителей, 6 призёров (олимпиада), 17 (конкурсы и конференции)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призёр (олимпиада), 9 (конкурсы и конференции)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(конкурсы и конференции)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победителей и призёров в дистанционных олимпиадах, конкурсах, конференциях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мероприятиях воспитательной направленност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конкурсы, акции, смотры, соревнования и др.)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1. Активность участия – не менее в 70% муниципальных мероприятий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2. Участие в республиканских и всероссийских мероприятиях – не менее чем в 2-х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мероприятий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Кадровый потенциал образовательной организации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образовательной организации педагогами,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их соответствие номенклатуре должностей, квалификационным требованиям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педагогического персонала в общем числе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в ОУ 70% и выше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педагогов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соответствуют номенклатуре должностей, квалификационным требованиям.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профессиональным образованием в общей численности педагогических работников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педагогического персонала в общем числе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в ОУ 70% и выше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>
              <w:t xml:space="preserve"> </w:t>
            </w:r>
            <w:r w:rsidRPr="00122DE9">
              <w:rPr>
                <w:rFonts w:ascii="Times New Roman" w:hAnsi="Times New Roman" w:cs="Times New Roman"/>
                <w:sz w:val="24"/>
                <w:szCs w:val="24"/>
              </w:rPr>
              <w:t>работников с высшим профессиональным образованием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ведущих образовательную деятельность не по специальности и не имеющих педагогического образования: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до 3 %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- 3-5 %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- 6-10%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более 10%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специалистов( 1-3 года работы) в общей численности педагогических работников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 (1 учитель)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молодых педагогических работнико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до 35 лет) в общей численности педагогических работников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 (5 учителей)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высшую квалификационную категорию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 (5 учителей)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3,7.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первую квалификационную категорию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61%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не аттестованных на соответствие занимаемой должности: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до 5%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- 6-10%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более 10%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 (1 молодой специалист, 1 учитель на заочном обучении)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имеющих государственные и ведомственные награды в общей численности педагогических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ООО, повысивших свою квалификацию посредством КПК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П в текущем году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-100% в соответствии с графиком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процесса обучения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разного уровня общего образования: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-Количество выпускников начального общего образования  успешно окончивших 4 класс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количество выпускников основного общего образования, сдавших ГИА и получивших аттестаты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количество неуспевающих выпускников основного общего образования по результатам ГИА (оставленные на повторный год обучения)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количество неуспевающих выпускников среднего общего образования по результатам ЕГЭ (математика)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 количество неуспевающих выпускников среднего общего образования по результатам ЕГЭ (русский язык)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количество выпускников среднего общего образования получивших по результатам ЕГЭ 75 и более баллов - % от общего количества выпускников выше среднего по республике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выпускники среднего общего образования, награжденные медалями «За особые успехи в учении» и подтвердившие знания высоким баллом ЕГЭ (75 и выше баллов)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данных выпускников от их общего числа выше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муниципалитету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выпускники среднего общего образования, награжденные медалями «За особые успехи в обучении» и не подтвердившие знания высоким баллом ЕГЭ (менее 75 баллов)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оставленные на повторный год обучения – уменьшение доли второгодников по сравнению с прошлым годом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учащихся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учащихся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учащихся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учащихся</w:t>
            </w:r>
          </w:p>
          <w:p w:rsidR="009F7624" w:rsidRPr="005F29B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5F29B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Доля школьников, обучающихся по ФГОС НОО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, от общего числа учащихся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в сети Интернет учащихся старших классов – от 0,5 часа в неделю и выше 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0,5 часа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учебных кабинетов компьютером для работы на уроке: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-доля активно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процессе составляет от  25% до 50%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от 50% и выше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50% и выше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сдача отчетности в УО и МО и Н с использованием электронных средств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несвоевременная сдача отчетности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на базе учреждения конференций, семинаров: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муниципальных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республиканских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реализация профильного обучения, 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наличие программ и элективных курсов (отражено в учебном плане образовательных программ ОУ)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- 100% часов;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- 50-80%;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менее 50%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обучающихся с ОВЗ (разработана адаптированная образовательная программа «Доступная среда», имеется медперсонал, профессиональная переподготовка учителей предметников и т.д.)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воспитательной работы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Доля учащихся, постоянно занимающихся в кружках и секциях, которые финансируются из бюджета данной образовательной организации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за каждые 25% от общего числа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631" w:type="dxa"/>
            <w:shd w:val="clear" w:color="auto" w:fill="auto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( в личном первенстве) и/или команд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организованных образовательной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организацией, ставших победителями или призерами спортивных соревнований, конкурсов, фестивалей и др. (за исключением предметных олимпиад и НПК) при наличии подтверждающих документов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победители на муниципальном уровне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победители на республиканском уровне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победители на всероссийском или международном  уровне</w:t>
            </w:r>
          </w:p>
        </w:tc>
        <w:tc>
          <w:tcPr>
            <w:tcW w:w="8631" w:type="dxa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 – победитель в социальных проектах различного уровня</w:t>
            </w:r>
          </w:p>
        </w:tc>
        <w:tc>
          <w:tcPr>
            <w:tcW w:w="8631" w:type="dxa"/>
            <w:shd w:val="clear" w:color="auto" w:fill="auto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Создание научно-исследовательских проектов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победа в муниципальных конкурсах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на всероссийских и международных конкурсах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числа учащихся, поставленных на учет в комиссии по делам несовершеннолетних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отсутствие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Снижение по сравнению с предыдущим периодом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числа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на учет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Деятельность детских объединений или организаций в ОУ, подтвержденных документами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детских объединений или организаций с утвержденным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локальным актом, регламентом деятельности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ученического органа самоуправления, установленного уставом учреждения и подтвержденного другой документацией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сохранения здоровья участников образовательного процесса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(наличие плана и подтверждающих документов)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образовательного учреждения: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отсутствие травматизма среди обучающихся и работников ОУ во время образовательного процесса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наличие предписаний органов надзора в части пожарной безопасности ОУ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предписаний органов надзора в части соответствия санитарно-эпидемиологическим нормам </w:t>
            </w:r>
          </w:p>
        </w:tc>
        <w:tc>
          <w:tcPr>
            <w:tcW w:w="8631" w:type="dxa"/>
            <w:shd w:val="clear" w:color="auto" w:fill="auto"/>
          </w:tcPr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D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D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Наличие случаев ДТП, произошедших по вине обучающихся ОУ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пришкольного лагеря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Пришкольный лагерь, лагерь труда и отдыха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ОУ, отдохнувших в загородном оздоровительном лагере в прошедший летний период – не менее 1/3 от общего числа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обучающихся и педагогических работников ОУ, отдохнувших в санаториях в текущем году по путевкам, полученным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профкомом ОУ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учащихся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и спортивной работы (участие и победы в спортивных соревнованиях)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при отсутствии данного вида деятельности в учреждении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призовых мест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% охвата учащихся горячим питанием выше, чем в среднем по муниципалитету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при положительной оценке контрольно-надзорных органов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в случае наложения взыскания за организацию питания проверяющим органом</w:t>
            </w:r>
          </w:p>
        </w:tc>
        <w:tc>
          <w:tcPr>
            <w:tcW w:w="8631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23" w:type="dxa"/>
            <w:gridSpan w:val="3"/>
          </w:tcPr>
          <w:p w:rsidR="009F7624" w:rsidRPr="000E418C" w:rsidRDefault="009F7624" w:rsidP="00E03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Финансово-экономическая деятельность, исполнительская дисциплина учреждения</w:t>
            </w: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Недопущение превышения фактических показателей плана финансово-хозяйственной деятельности в сравнении с плановыми показателями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исполнение плана финансово-хозяйственной деятельности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  <w:proofErr w:type="gramEnd"/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 плана финансово-хозяйственной деятельности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статистическую отчетность</w:t>
            </w:r>
          </w:p>
        </w:tc>
        <w:tc>
          <w:tcPr>
            <w:tcW w:w="8631" w:type="dxa"/>
            <w:shd w:val="clear" w:color="auto" w:fill="auto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Исполняется в срок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финансовой и </w:t>
            </w: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статистической отчетности в установленные сроки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нарушений </w:t>
            </w:r>
          </w:p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- при нарушении сроков предоставления финансовой и статистической отчетности</w:t>
            </w:r>
          </w:p>
        </w:tc>
        <w:tc>
          <w:tcPr>
            <w:tcW w:w="8631" w:type="dxa"/>
            <w:shd w:val="clear" w:color="auto" w:fill="auto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нарушений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624" w:rsidRPr="000E418C" w:rsidTr="00E0386F">
        <w:tc>
          <w:tcPr>
            <w:tcW w:w="63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416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8C">
              <w:rPr>
                <w:rFonts w:ascii="Times New Roman" w:hAnsi="Times New Roman" w:cs="Times New Roman"/>
                <w:sz w:val="24"/>
                <w:szCs w:val="24"/>
              </w:rPr>
              <w:t>Увеличение объема оказываемых платных услуг не менее чем на 10% в сравнении с показателями предыдущего года</w:t>
            </w:r>
          </w:p>
        </w:tc>
        <w:tc>
          <w:tcPr>
            <w:tcW w:w="8631" w:type="dxa"/>
            <w:shd w:val="clear" w:color="auto" w:fill="auto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126" w:type="dxa"/>
          </w:tcPr>
          <w:p w:rsidR="009F7624" w:rsidRPr="000E418C" w:rsidRDefault="009F7624" w:rsidP="00E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EA" w:rsidRDefault="009011EA" w:rsidP="009F7624">
      <w:pPr>
        <w:tabs>
          <w:tab w:val="left" w:pos="2833"/>
        </w:tabs>
      </w:pPr>
    </w:p>
    <w:p w:rsidR="009011EA" w:rsidRPr="009011EA" w:rsidRDefault="009011EA" w:rsidP="009011EA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1EA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9011EA">
        <w:rPr>
          <w:rFonts w:ascii="Times New Roman" w:hAnsi="Times New Roman" w:cs="Times New Roman"/>
          <w:sz w:val="24"/>
          <w:szCs w:val="24"/>
        </w:rPr>
        <w:t>Карадуванская</w:t>
      </w:r>
      <w:proofErr w:type="spellEnd"/>
      <w:r w:rsidRPr="009011EA">
        <w:rPr>
          <w:rFonts w:ascii="Times New Roman" w:hAnsi="Times New Roman" w:cs="Times New Roman"/>
          <w:sz w:val="24"/>
          <w:szCs w:val="24"/>
        </w:rPr>
        <w:t xml:space="preserve"> СОШ»:                                </w:t>
      </w:r>
      <w:proofErr w:type="spellStart"/>
      <w:r w:rsidRPr="009011EA">
        <w:rPr>
          <w:rFonts w:ascii="Times New Roman" w:hAnsi="Times New Roman" w:cs="Times New Roman"/>
          <w:sz w:val="24"/>
          <w:szCs w:val="24"/>
        </w:rPr>
        <w:t>Г.Ф.Зарипова</w:t>
      </w:r>
      <w:proofErr w:type="spellEnd"/>
    </w:p>
    <w:sectPr w:rsidR="009011EA" w:rsidRPr="009011EA" w:rsidSect="00AA60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37D91"/>
    <w:multiLevelType w:val="hybridMultilevel"/>
    <w:tmpl w:val="F7A63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6C97"/>
    <w:rsid w:val="00016D8B"/>
    <w:rsid w:val="000363F1"/>
    <w:rsid w:val="000E418C"/>
    <w:rsid w:val="00122DE9"/>
    <w:rsid w:val="00191343"/>
    <w:rsid w:val="001A6D2F"/>
    <w:rsid w:val="002858C0"/>
    <w:rsid w:val="002930D0"/>
    <w:rsid w:val="002D4710"/>
    <w:rsid w:val="0031331F"/>
    <w:rsid w:val="00367D8C"/>
    <w:rsid w:val="003E4B1A"/>
    <w:rsid w:val="003F6C97"/>
    <w:rsid w:val="00490B4A"/>
    <w:rsid w:val="004F03D3"/>
    <w:rsid w:val="005F29BC"/>
    <w:rsid w:val="00600143"/>
    <w:rsid w:val="00606D73"/>
    <w:rsid w:val="00613687"/>
    <w:rsid w:val="006D3B91"/>
    <w:rsid w:val="006F1853"/>
    <w:rsid w:val="00703A7A"/>
    <w:rsid w:val="00714A75"/>
    <w:rsid w:val="007B0BE7"/>
    <w:rsid w:val="007B786A"/>
    <w:rsid w:val="007E4142"/>
    <w:rsid w:val="00832926"/>
    <w:rsid w:val="0085449E"/>
    <w:rsid w:val="008A7630"/>
    <w:rsid w:val="008C1BB2"/>
    <w:rsid w:val="008D3436"/>
    <w:rsid w:val="008F73C8"/>
    <w:rsid w:val="009011EA"/>
    <w:rsid w:val="009F7624"/>
    <w:rsid w:val="00A77930"/>
    <w:rsid w:val="00AA6093"/>
    <w:rsid w:val="00B56218"/>
    <w:rsid w:val="00B91D4B"/>
    <w:rsid w:val="00C805DE"/>
    <w:rsid w:val="00D25D65"/>
    <w:rsid w:val="00DC2147"/>
    <w:rsid w:val="00DE76D5"/>
    <w:rsid w:val="00E04878"/>
    <w:rsid w:val="00E165E1"/>
    <w:rsid w:val="00F22781"/>
    <w:rsid w:val="00F33B34"/>
    <w:rsid w:val="00F76626"/>
    <w:rsid w:val="00F85F1D"/>
    <w:rsid w:val="00F9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Гульсина</cp:lastModifiedBy>
  <cp:revision>19</cp:revision>
  <dcterms:created xsi:type="dcterms:W3CDTF">2015-07-13T16:54:00Z</dcterms:created>
  <dcterms:modified xsi:type="dcterms:W3CDTF">2015-07-15T11:21:00Z</dcterms:modified>
</cp:coreProperties>
</file>